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15C5204A" w14:textId="585738A5" w:rsidR="005210B3" w:rsidRPr="005210B3" w:rsidRDefault="005210B3" w:rsidP="005210B3">
      <w:pPr>
        <w:jc w:val="center"/>
        <w:rPr>
          <w:rFonts w:cstheme="minorHAnsi"/>
          <w:b/>
          <w:bCs/>
        </w:rPr>
      </w:pPr>
      <w:r w:rsidRPr="005210B3">
        <w:rPr>
          <w:rFonts w:cstheme="minorHAnsi"/>
          <w:b/>
          <w:bCs/>
        </w:rPr>
        <w:t>Dealing with the Aftermath of Workplace Violence</w:t>
      </w:r>
    </w:p>
    <w:p w14:paraId="46747DEA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March 23, 2017 - James Olney, JD, Associated Benefits and Risk Consulting</w:t>
      </w:r>
    </w:p>
    <w:p w14:paraId="7E0F5B56" w14:textId="77777777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In public speaking, and, to a lesser degree, in article writing, the advice is to always open with a joke.</w:t>
      </w:r>
    </w:p>
    <w:p w14:paraId="2E2FF093" w14:textId="77777777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And, indeed, I’ve amused myself frequently at the start of many of my other articles.</w:t>
      </w:r>
    </w:p>
    <w:p w14:paraId="6895068A" w14:textId="692D1343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However, today I’m writing about dealing with the aftermath of workplace violence, which, kind of like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making jokes at a funeral, doesn’t lend itself well to humor. Instead, let’s start with a not-so-hypothetical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hypothetical:</w:t>
      </w:r>
    </w:p>
    <w:p w14:paraId="314D8257" w14:textId="05BF7983" w:rsidR="005210B3" w:rsidRPr="005210B3" w:rsidRDefault="005210B3" w:rsidP="005210B3">
      <w:pPr>
        <w:ind w:left="720"/>
        <w:rPr>
          <w:rFonts w:cstheme="minorHAnsi"/>
        </w:rPr>
      </w:pPr>
      <w:r w:rsidRPr="005210B3">
        <w:rPr>
          <w:rFonts w:cstheme="minorHAnsi"/>
        </w:rPr>
        <w:t>The aggrieved ex-spouse of an employee is convinced she’s having an affair with a coworker,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shows up to your workplace with a gun, shoots the coworker, locks himself in a room with his ex,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and eventually kills her and himself after several hours of negotiating with the police.</w:t>
      </w:r>
    </w:p>
    <w:p w14:paraId="52D66816" w14:textId="193831D8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One of the unforeseen problems with that scenario is that the world does not come to a standstill while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you are in shock or are grieving. Instead, there are number of legal and practical things that you must do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almost immediately.</w:t>
      </w:r>
    </w:p>
    <w:p w14:paraId="0663F70D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No rest for the weary</w:t>
      </w:r>
    </w:p>
    <w:p w14:paraId="2028D1B4" w14:textId="5AF4437D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With two employees killed in your workplace, haven’t you suffered enough? OSHA doesn’t think so.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Indeed, OSHA requires that you formally notify them within 8 hours — let me repeat that: 8 hours — from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the time you learn an employee has died in connection with work.</w:t>
      </w:r>
    </w:p>
    <w:p w14:paraId="6B73A50B" w14:textId="6083DE95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As you’ve been busy evacuating the building, trying to account for everybody, dealing with the authorities,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and just generally being in shock, the last thing you’re probably thinking is, “Gee, I had best make sure to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have a chat with the good people at OSHA about all this hullabaloo.”</w:t>
      </w:r>
    </w:p>
    <w:p w14:paraId="61A50C06" w14:textId="7CF64F6D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However, the OSHA notification timeclock is ticking, and failure to provide formal notice of the deaths can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lead to penalties as high as $5,000-$7,000 dollars per unreported death. Here’s what the regulations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require you to include in your report:</w:t>
      </w:r>
    </w:p>
    <w:p w14:paraId="2CBC9AD0" w14:textId="39ACA832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What information do I need to give to OSHA about the fatality, in-patient hospitalization, amputation, or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loss of an eye? You must give OSHA the following information for each fatality, in-patient hospitalization,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amputation, or loss of an eye:</w:t>
      </w:r>
    </w:p>
    <w:p w14:paraId="5A8BF0A8" w14:textId="79E4F547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lastRenderedPageBreak/>
        <w:t>The establishment name;</w:t>
      </w:r>
    </w:p>
    <w:p w14:paraId="459C47BB" w14:textId="1623CE96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The location of the work-related incident;</w:t>
      </w:r>
    </w:p>
    <w:p w14:paraId="17789D97" w14:textId="36961B8D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The time of the work-related incident;</w:t>
      </w:r>
    </w:p>
    <w:p w14:paraId="0942565E" w14:textId="3D24234A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The type of reportable event (i.e., fatality, in-patient hospitalization, amputation, or loss of an eye);</w:t>
      </w:r>
    </w:p>
    <w:p w14:paraId="50F80394" w14:textId="312B7A0D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The number of employees who suffered a fatality, in-patient hospitalization, amputation, or loss of</w:t>
      </w:r>
    </w:p>
    <w:p w14:paraId="55AE1DC8" w14:textId="77777777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an eye;</w:t>
      </w:r>
    </w:p>
    <w:p w14:paraId="13B95368" w14:textId="124F5B3F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The names of the employees who suffered a fatality, in-patient hospitalization, amputation, or loss</w:t>
      </w:r>
    </w:p>
    <w:p w14:paraId="47C176C7" w14:textId="77777777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of an eye;</w:t>
      </w:r>
    </w:p>
    <w:p w14:paraId="63F67A65" w14:textId="40F1C8E5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Your contact person and his or her phone number; and</w:t>
      </w:r>
    </w:p>
    <w:p w14:paraId="01C26730" w14:textId="597EAA48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A brief description of the work-related incident.</w:t>
      </w:r>
    </w:p>
    <w:p w14:paraId="037E2DF9" w14:textId="3F00C8E9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While that may not be the most complex information you have to report all year, it will almost certainly be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the most difficult, given the circumstances, and if you aren’t aware that you even have a reporting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obligation in the first place, you can easily get in trouble.</w:t>
      </w:r>
    </w:p>
    <w:p w14:paraId="1AB6646E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 xml:space="preserve">Planning, planning and more </w:t>
      </w:r>
      <w:proofErr w:type="gramStart"/>
      <w:r w:rsidRPr="005210B3">
        <w:rPr>
          <w:rFonts w:cstheme="minorHAnsi"/>
          <w:i/>
          <w:iCs/>
        </w:rPr>
        <w:t>planning</w:t>
      </w:r>
      <w:proofErr w:type="gramEnd"/>
    </w:p>
    <w:p w14:paraId="6B24188B" w14:textId="2E138612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In my previous article on workplace violence, I suggested that the key to deterring or minimizing the risk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of potential violence is planning. Not surprisingly, planning is also the key to making sure that you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properly and effectively respond to and recover from incidents of workplace violence.</w:t>
      </w:r>
    </w:p>
    <w:p w14:paraId="50798436" w14:textId="50224096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This is particularly true in the critical hours and days immediately following an incident, since the chaos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and emotions of the moment will make it very difficult to think or act responsibly. Therefore, it’s crucial that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you have a plan in place for how to respond when violence strikes, since you’ll definitely need a roadmap,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if the time ever comes.</w:t>
      </w:r>
    </w:p>
    <w:p w14:paraId="60D1F2B8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Response plan checklist</w:t>
      </w:r>
    </w:p>
    <w:p w14:paraId="18BC92ED" w14:textId="72B4A5A0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While it’s impossible to list all of the things you may need to do by way of responding to an act of violence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in the workplace, the following checklist covers a number of post-incident issues that you may want to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include in your response plan.</w:t>
      </w:r>
    </w:p>
    <w:p w14:paraId="155D5E46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Incident response plan components</w:t>
      </w:r>
    </w:p>
    <w:p w14:paraId="39F6648B" w14:textId="4E6FA1EE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 xml:space="preserve">Having someone act as designated response </w:t>
      </w:r>
      <w:proofErr w:type="gramStart"/>
      <w:r w:rsidRPr="005210B3">
        <w:rPr>
          <w:rFonts w:cstheme="minorHAnsi"/>
        </w:rPr>
        <w:t>coordinator</w:t>
      </w:r>
      <w:proofErr w:type="gramEnd"/>
    </w:p>
    <w:p w14:paraId="3C7BFC6B" w14:textId="00CA664C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Evacuating area/building</w:t>
      </w:r>
    </w:p>
    <w:p w14:paraId="7B8F5921" w14:textId="56F18B29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Accounting for all evacuated employees, patients, clients, and visitors</w:t>
      </w:r>
    </w:p>
    <w:p w14:paraId="455B3309" w14:textId="6D461E36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Contacting external emergency responders</w:t>
      </w:r>
    </w:p>
    <w:p w14:paraId="56C1B769" w14:textId="58F439EA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Engaging internal emergency responders</w:t>
      </w:r>
    </w:p>
    <w:p w14:paraId="60A61A7F" w14:textId="64478BEC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Designating someone to act as the liaison with emergency responders</w:t>
      </w:r>
    </w:p>
    <w:p w14:paraId="5F5374CB" w14:textId="33DDBFA9" w:rsidR="005210B3" w:rsidRPr="005210B3" w:rsidRDefault="005210B3" w:rsidP="005210B3">
      <w:pPr>
        <w:pStyle w:val="ListParagraph"/>
        <w:numPr>
          <w:ilvl w:val="0"/>
          <w:numId w:val="2"/>
        </w:numPr>
        <w:rPr>
          <w:rFonts w:cstheme="minorHAnsi"/>
        </w:rPr>
      </w:pPr>
      <w:r w:rsidRPr="005210B3">
        <w:rPr>
          <w:rFonts w:cstheme="minorHAnsi"/>
        </w:rPr>
        <w:t>Having necessary emergency response information available (e.g., floor plans, current employee</w:t>
      </w:r>
    </w:p>
    <w:p w14:paraId="1FB476DA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lists and contact information, surveillance camera access, etc.)</w:t>
      </w:r>
    </w:p>
    <w:p w14:paraId="69403A45" w14:textId="302FE4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lastRenderedPageBreak/>
        <w:t>Shutting down or managing critical systems, patients, or clients</w:t>
      </w:r>
    </w:p>
    <w:p w14:paraId="6008684B" w14:textId="571418F4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Notifying families / emergency contacts of those who have been hurt or killed</w:t>
      </w:r>
    </w:p>
    <w:p w14:paraId="3D95EF6C" w14:textId="0E03510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Notifying OSHA within 8 hours of the occurrence of reportable events</w:t>
      </w:r>
    </w:p>
    <w:p w14:paraId="3C0EC479" w14:textId="1E04B758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Notifying workers’ compensation and liability insurance carriers of potential claims</w:t>
      </w:r>
    </w:p>
    <w:p w14:paraId="1D941F50" w14:textId="282793CD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Contacting life insurance, short-term disability, and other related employee benefits resources</w:t>
      </w:r>
    </w:p>
    <w:p w14:paraId="5682133B" w14:textId="23BA1320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Contacting Employee Assistance Program or other similar resource for assistance</w:t>
      </w:r>
    </w:p>
    <w:p w14:paraId="5728B019" w14:textId="1AF780AA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Ensuring scene preservation for litigation and insurance claims investigation purposes</w:t>
      </w:r>
    </w:p>
    <w:p w14:paraId="4EF89DFA" w14:textId="595C04FF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Facilitating and managing various post-incident investigations (including OSHA, insurance,</w:t>
      </w:r>
    </w:p>
    <w:p w14:paraId="32D15311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litigation, etc.)</w:t>
      </w:r>
    </w:p>
    <w:p w14:paraId="236C8573" w14:textId="29320924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 xml:space="preserve">Communicating frequently with impacted employees during business shut-down </w:t>
      </w:r>
      <w:proofErr w:type="gramStart"/>
      <w:r w:rsidRPr="005210B3">
        <w:rPr>
          <w:rFonts w:cstheme="minorHAnsi"/>
        </w:rPr>
        <w:t>period</w:t>
      </w:r>
      <w:proofErr w:type="gramEnd"/>
    </w:p>
    <w:p w14:paraId="15485131" w14:textId="5DD84360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Coordinating clean-up of incident site</w:t>
      </w:r>
    </w:p>
    <w:p w14:paraId="125F7210" w14:textId="4F655316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 xml:space="preserve">Repairing and possibly remodeling incident site to make site functional again, reduce </w:t>
      </w:r>
      <w:proofErr w:type="gramStart"/>
      <w:r w:rsidRPr="005210B3">
        <w:rPr>
          <w:rFonts w:cstheme="minorHAnsi"/>
        </w:rPr>
        <w:t>reentry</w:t>
      </w:r>
      <w:proofErr w:type="gramEnd"/>
    </w:p>
    <w:p w14:paraId="72A77832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 xml:space="preserve">trauma for returning employees, and minimize future </w:t>
      </w:r>
      <w:proofErr w:type="gramStart"/>
      <w:r w:rsidRPr="005210B3">
        <w:rPr>
          <w:rFonts w:cstheme="minorHAnsi"/>
        </w:rPr>
        <w:t>risks</w:t>
      </w:r>
      <w:proofErr w:type="gramEnd"/>
    </w:p>
    <w:p w14:paraId="1DBB12B3" w14:textId="60627155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Coordinating grief counsellors through Employee Assistance Program or other similar resources</w:t>
      </w:r>
    </w:p>
    <w:p w14:paraId="2CC90C4F" w14:textId="156531DC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Developing reentry plan for impacted employees</w:t>
      </w:r>
    </w:p>
    <w:p w14:paraId="37E9FDC7" w14:textId="1568A3EB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Communicating frequently with impacted employees during reentry period</w:t>
      </w:r>
    </w:p>
    <w:p w14:paraId="26B99549" w14:textId="4B7E09AD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Making sure basic HR functions continue to be performed (e.g., payroll, insurance premium</w:t>
      </w:r>
    </w:p>
    <w:p w14:paraId="38A0CAC4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payments, final paychecks for the deceased, FMLA and other leave management, etc.)</w:t>
      </w:r>
    </w:p>
    <w:p w14:paraId="0B8F925B" w14:textId="6370EEF0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Reaching out to customers, clients, vendors, etc.</w:t>
      </w:r>
    </w:p>
    <w:p w14:paraId="1DEE55AC" w14:textId="44F71596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Dealing with the media and controlling the message in a way that’s respectful of the injured /</w:t>
      </w:r>
    </w:p>
    <w:p w14:paraId="5B596C31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deceased, while still reflecting well on the organization</w:t>
      </w:r>
    </w:p>
    <w:p w14:paraId="1098834C" w14:textId="5AD1C0C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Monitoring social media for a set post-incident period (both employee and third-party postings)</w:t>
      </w:r>
    </w:p>
    <w:p w14:paraId="45F1B8E0" w14:textId="30F72AE5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Replacing lost team members (whether those who were killed, or those who won’t or can’t return</w:t>
      </w:r>
    </w:p>
    <w:p w14:paraId="654E410A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to the workplace)</w:t>
      </w:r>
    </w:p>
    <w:p w14:paraId="06220A68" w14:textId="23AF5F76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Conducting formal post-incident analysis of the incident, and whether new protocols or</w:t>
      </w:r>
    </w:p>
    <w:p w14:paraId="62F5EF3A" w14:textId="77777777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procedures can be developed to minimize future risk</w:t>
      </w:r>
    </w:p>
    <w:p w14:paraId="0FE76DCC" w14:textId="3518A9CE" w:rsidR="005210B3" w:rsidRPr="005210B3" w:rsidRDefault="005210B3" w:rsidP="005210B3">
      <w:pPr>
        <w:pStyle w:val="ListParagraph"/>
        <w:numPr>
          <w:ilvl w:val="0"/>
          <w:numId w:val="4"/>
        </w:numPr>
        <w:rPr>
          <w:rFonts w:cstheme="minorHAnsi"/>
        </w:rPr>
      </w:pPr>
      <w:r w:rsidRPr="005210B3">
        <w:rPr>
          <w:rFonts w:cstheme="minorHAnsi"/>
        </w:rPr>
        <w:t>Providing any necessary employee training for minimizing and responding to future incidents</w:t>
      </w:r>
    </w:p>
    <w:p w14:paraId="3C6BE9E6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Conclusion</w:t>
      </w:r>
    </w:p>
    <w:p w14:paraId="18F7849E" w14:textId="2C4CC8E7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In times of crisis, structure and pre-planning can make all the difference. For Hotline clients, feel free to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reach out to the Hotline with any questions you may have about your workplace preparedness. And, for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 xml:space="preserve">anyone reading this article, keep an eye out for our fall webinar schedule, </w:t>
      </w:r>
      <w:r w:rsidRPr="005210B3">
        <w:rPr>
          <w:rFonts w:cstheme="minorHAnsi"/>
        </w:rPr>
        <w:lastRenderedPageBreak/>
        <w:t>as I’ll be presenting webinar on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both preparing for, and responding to, violence in the workplace. As always, contact us with your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questions.</w:t>
      </w:r>
    </w:p>
    <w:p w14:paraId="330AC90B" w14:textId="4DD2C62B" w:rsidR="005210B3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 xml:space="preserve">This article originally appeared at </w:t>
      </w:r>
      <w:hyperlink r:id="rId8" w:anchor=".WO1KOcRblx0.email" w:history="1">
        <w:r w:rsidRPr="00DB6D9C">
          <w:rPr>
            <w:rStyle w:val="Hyperlink"/>
            <w:rFonts w:cstheme="minorHAnsi"/>
          </w:rPr>
          <w:t>https://www.associatedbrc.com/Resource-Library/Resource-LibraryArticle/ArtMid/666/ArticleID/509#.WO1KOcRblx0.email</w:t>
        </w:r>
      </w:hyperlink>
      <w:r>
        <w:rPr>
          <w:rFonts w:cstheme="minorHAnsi"/>
        </w:rPr>
        <w:t xml:space="preserve"> </w:t>
      </w:r>
      <w:r w:rsidRPr="005210B3">
        <w:rPr>
          <w:rFonts w:cstheme="minorHAnsi"/>
        </w:rPr>
        <w:t>and was reprinted by permission from Associated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Benefits and Risk Consulting.</w:t>
      </w:r>
    </w:p>
    <w:p w14:paraId="3FCF8762" w14:textId="77777777" w:rsidR="005210B3" w:rsidRPr="005210B3" w:rsidRDefault="005210B3" w:rsidP="005210B3">
      <w:pPr>
        <w:rPr>
          <w:rFonts w:cstheme="minorHAnsi"/>
          <w:i/>
          <w:iCs/>
        </w:rPr>
      </w:pPr>
      <w:r w:rsidRPr="005210B3">
        <w:rPr>
          <w:rFonts w:cstheme="minorHAnsi"/>
          <w:i/>
          <w:iCs/>
        </w:rPr>
        <w:t>James Olney, JD</w:t>
      </w:r>
    </w:p>
    <w:p w14:paraId="2BA1521B" w14:textId="5D4C855D" w:rsidR="00361D88" w:rsidRPr="005210B3" w:rsidRDefault="005210B3" w:rsidP="005210B3">
      <w:pPr>
        <w:rPr>
          <w:rFonts w:cstheme="minorHAnsi"/>
        </w:rPr>
      </w:pPr>
      <w:r w:rsidRPr="005210B3">
        <w:rPr>
          <w:rFonts w:cstheme="minorHAnsi"/>
        </w:rPr>
        <w:t>James provides guidance to employers on a variety of topics with a focus on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employment, risk management and liability issues. In addition to working directly with employers, he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>regularly conducts in-depth training through webinars, at client sites, and through the University of</w:t>
      </w:r>
      <w:r>
        <w:rPr>
          <w:rFonts w:cstheme="minorHAnsi"/>
        </w:rPr>
        <w:t xml:space="preserve"> </w:t>
      </w:r>
      <w:r w:rsidRPr="005210B3">
        <w:rPr>
          <w:rFonts w:cstheme="minorHAnsi"/>
        </w:rPr>
        <w:t xml:space="preserve">Minnesota’s </w:t>
      </w:r>
      <w:r w:rsidR="00143F7A">
        <w:rPr>
          <w:rFonts w:cstheme="minorHAnsi"/>
        </w:rPr>
        <w:t xml:space="preserve">College of </w:t>
      </w:r>
      <w:r w:rsidRPr="00143F7A">
        <w:rPr>
          <w:rFonts w:cstheme="minorHAnsi"/>
        </w:rPr>
        <w:t>Continuin</w:t>
      </w:r>
      <w:r w:rsidR="00143F7A" w:rsidRPr="00143F7A">
        <w:rPr>
          <w:rFonts w:cstheme="minorHAnsi"/>
        </w:rPr>
        <w:t xml:space="preserve">g &amp; Professional Studies. </w:t>
      </w: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9"/>
      <w:footerReference w:type="first" r:id="rId10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E75"/>
    <w:multiLevelType w:val="hybridMultilevel"/>
    <w:tmpl w:val="D99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028E"/>
    <w:multiLevelType w:val="hybridMultilevel"/>
    <w:tmpl w:val="473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50BC"/>
    <w:multiLevelType w:val="hybridMultilevel"/>
    <w:tmpl w:val="492C7AA0"/>
    <w:lvl w:ilvl="0" w:tplc="C9A09E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3"/>
  </w:num>
  <w:num w:numId="2" w16cid:durableId="494147823">
    <w:abstractNumId w:val="1"/>
  </w:num>
  <w:num w:numId="3" w16cid:durableId="1232428047">
    <w:abstractNumId w:val="2"/>
  </w:num>
  <w:num w:numId="4" w16cid:durableId="90892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143F7A"/>
    <w:rsid w:val="002549A2"/>
    <w:rsid w:val="00297CFA"/>
    <w:rsid w:val="0035578E"/>
    <w:rsid w:val="00361D88"/>
    <w:rsid w:val="003F100D"/>
    <w:rsid w:val="00474A4E"/>
    <w:rsid w:val="004B52E9"/>
    <w:rsid w:val="004B68BB"/>
    <w:rsid w:val="005210B3"/>
    <w:rsid w:val="0060298A"/>
    <w:rsid w:val="00661DF3"/>
    <w:rsid w:val="00686CBD"/>
    <w:rsid w:val="006A04CB"/>
    <w:rsid w:val="006C1079"/>
    <w:rsid w:val="006E2C2E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D14411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B3"/>
    <w:rPr>
      <w:color w:val="76CED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edbrc.com/Resource-Library/Resource-LibraryArticle/ArtMid/666/ArticleID/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6524</Characters>
  <Application>Microsoft Office Word</Application>
  <DocSecurity>0</DocSecurity>
  <Lines>181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5</cp:revision>
  <cp:lastPrinted>2022-02-07T18:55:00Z</cp:lastPrinted>
  <dcterms:created xsi:type="dcterms:W3CDTF">2023-02-21T22:01:00Z</dcterms:created>
  <dcterms:modified xsi:type="dcterms:W3CDTF">2023-04-04T16:26:00Z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2ae7a6923ad44f44f242475ebb162404bb44aea6a45bed9d76f9d646a5870954</vt:lpwstr>
  </property>
</Properties>
</file>