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3686E7CF" w14:textId="77777777" w:rsidR="002D72CC" w:rsidRDefault="002D72CC" w:rsidP="002D72CC">
      <w:pPr>
        <w:spacing w:after="0"/>
        <w:ind w:righ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MSB Risk Assessment</w:t>
      </w:r>
    </w:p>
    <w:p w14:paraId="7077AFF6" w14:textId="77777777" w:rsidR="002D72CC" w:rsidRDefault="002D72CC" w:rsidP="002D72CC">
      <w:pPr>
        <w:spacing w:after="0"/>
        <w:ind w:right="90"/>
        <w:jc w:val="center"/>
        <w:rPr>
          <w:rFonts w:cstheme="minorHAnsi"/>
          <w:b/>
          <w:bCs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432"/>
        <w:gridCol w:w="3164"/>
        <w:gridCol w:w="268"/>
        <w:gridCol w:w="1700"/>
        <w:gridCol w:w="2161"/>
        <w:gridCol w:w="1075"/>
      </w:tblGrid>
      <w:tr w:rsidR="002D72CC" w14:paraId="319A4AE0" w14:textId="77777777" w:rsidTr="002D72C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6050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Legal business name: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EED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6FA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563C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Agent for: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539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5C36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Verified:</w:t>
            </w:r>
          </w:p>
        </w:tc>
      </w:tr>
      <w:tr w:rsidR="002D72CC" w14:paraId="4EC16E13" w14:textId="77777777" w:rsidTr="002D72C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4341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Any d/b/a name(s):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9DA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C49A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0AB5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One risk point for each “not able to be verified:”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586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25D" w14:textId="77777777" w:rsidR="002D72CC" w:rsidRDefault="002D72CC">
            <w:pPr>
              <w:rPr>
                <w:rFonts w:cstheme="minorHAnsi"/>
              </w:rPr>
            </w:pPr>
          </w:p>
        </w:tc>
      </w:tr>
      <w:tr w:rsidR="002D72CC" w14:paraId="79C5DA53" w14:textId="77777777" w:rsidTr="002D72CC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A524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8E6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7573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AD66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5C1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3B2" w14:textId="77777777" w:rsidR="002D72CC" w:rsidRDefault="002D72CC">
            <w:pPr>
              <w:rPr>
                <w:rFonts w:cstheme="minorHAnsi"/>
              </w:rPr>
            </w:pPr>
          </w:p>
        </w:tc>
      </w:tr>
      <w:tr w:rsidR="002D72CC" w14:paraId="646E176A" w14:textId="77777777" w:rsidTr="002D72CC"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97DE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0EA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2C80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0CE3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089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7B8" w14:textId="77777777" w:rsidR="002D72CC" w:rsidRDefault="002D72CC">
            <w:pPr>
              <w:rPr>
                <w:rFonts w:cstheme="minorHAnsi"/>
              </w:rPr>
            </w:pPr>
          </w:p>
        </w:tc>
      </w:tr>
      <w:tr w:rsidR="002D72CC" w14:paraId="54533D8C" w14:textId="77777777" w:rsidTr="002D72C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B29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Local address: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531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4E7D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944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FE3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B6C" w14:textId="77777777" w:rsidR="002D72CC" w:rsidRDefault="002D72CC">
            <w:pPr>
              <w:rPr>
                <w:rFonts w:cstheme="minorHAnsi"/>
              </w:rPr>
            </w:pPr>
          </w:p>
        </w:tc>
      </w:tr>
      <w:tr w:rsidR="002D72CC" w14:paraId="45C72530" w14:textId="77777777" w:rsidTr="002D72C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105C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City/state/zip: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D80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E432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0A96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DB7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B6C" w14:textId="77777777" w:rsidR="002D72CC" w:rsidRDefault="002D72CC">
            <w:pPr>
              <w:rPr>
                <w:rFonts w:cstheme="minorHAnsi"/>
              </w:rPr>
            </w:pPr>
          </w:p>
        </w:tc>
      </w:tr>
      <w:tr w:rsidR="002D72CC" w14:paraId="67EA3981" w14:textId="77777777" w:rsidTr="002D72C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6BF2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locations: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DA8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F75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D4CA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F38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Risk points: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D22" w14:textId="77777777" w:rsidR="002D72CC" w:rsidRDefault="002D72CC">
            <w:pPr>
              <w:rPr>
                <w:rFonts w:cstheme="minorHAnsi"/>
              </w:rPr>
            </w:pPr>
          </w:p>
        </w:tc>
      </w:tr>
      <w:tr w:rsidR="002D72CC" w14:paraId="54200B94" w14:textId="77777777" w:rsidTr="002D72C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06FF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period: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526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BB5" w14:textId="77777777" w:rsidR="002D72CC" w:rsidRDefault="002D72CC">
            <w:pPr>
              <w:rPr>
                <w:rFonts w:cstheme="minorHAns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DD9F" w14:textId="77777777" w:rsidR="002D72CC" w:rsidRDefault="002D72CC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date: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F72" w14:textId="77777777" w:rsidR="002D72CC" w:rsidRDefault="002D72CC">
            <w:pPr>
              <w:rPr>
                <w:rFonts w:cstheme="minorHAnsi"/>
              </w:rPr>
            </w:pPr>
          </w:p>
        </w:tc>
      </w:tr>
    </w:tbl>
    <w:p w14:paraId="6C690DA5" w14:textId="77777777" w:rsidR="002D72CC" w:rsidRDefault="002D72CC" w:rsidP="002D72CC">
      <w:pPr>
        <w:rPr>
          <w:rFonts w:cstheme="minorHAnsi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700"/>
        <w:gridCol w:w="2705"/>
        <w:gridCol w:w="2155"/>
        <w:gridCol w:w="3240"/>
      </w:tblGrid>
      <w:tr w:rsidR="002D72CC" w14:paraId="495D3786" w14:textId="77777777" w:rsidTr="002D72C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DD4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FinCEN registration date: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D4B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E7A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WDFI CRIS status: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513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</w:tbl>
    <w:p w14:paraId="1827DFA2" w14:textId="77777777" w:rsidR="002D72CC" w:rsidRDefault="002D72CC" w:rsidP="002D72CC">
      <w:pPr>
        <w:tabs>
          <w:tab w:val="left" w:pos="1965"/>
        </w:tabs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CBAF60F" w14:textId="77777777" w:rsidR="002D72CC" w:rsidRDefault="002D72CC" w:rsidP="002D72CC">
      <w:pPr>
        <w:tabs>
          <w:tab w:val="left" w:pos="1965"/>
        </w:tabs>
        <w:spacing w:after="0"/>
        <w:ind w:left="-720"/>
        <w:rPr>
          <w:rFonts w:cstheme="minorHAnsi"/>
        </w:rPr>
      </w:pPr>
      <w:r>
        <w:rPr>
          <w:rFonts w:cstheme="minorHAnsi"/>
          <w:b/>
          <w:bCs/>
        </w:rPr>
        <w:t>Registered Services: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Risk Points</w:t>
      </w:r>
      <w:r>
        <w:rPr>
          <w:rFonts w:cstheme="minorHAnsi"/>
        </w:rPr>
        <w:tab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990"/>
        <w:gridCol w:w="3150"/>
        <w:gridCol w:w="900"/>
        <w:gridCol w:w="900"/>
        <w:gridCol w:w="4860"/>
      </w:tblGrid>
      <w:tr w:rsidR="002D72CC" w14:paraId="6FF7A05B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7DBC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401  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86E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Issuer of traveler's checks: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A92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518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B1B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Issues checks for which they are financially responsible.</w:t>
            </w:r>
          </w:p>
        </w:tc>
      </w:tr>
      <w:tr w:rsidR="002D72CC" w14:paraId="28F759C8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ABF6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402  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BB3A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Seller of traveler's checks: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F7B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F4F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C974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Sells checks as an agent for an issuer.</w:t>
            </w:r>
          </w:p>
        </w:tc>
      </w:tr>
      <w:tr w:rsidR="002D72CC" w14:paraId="0F3EC1FF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2433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404  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8A81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Issuer of money orders: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F66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7029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B925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Issues MOs for which they are financially responsible.</w:t>
            </w:r>
          </w:p>
        </w:tc>
      </w:tr>
      <w:tr w:rsidR="002D72CC" w14:paraId="270EAE0C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095B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405  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F153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Seller of money orders: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45D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6D40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0573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Sells MOs as an agent for an issuer.</w:t>
            </w:r>
          </w:p>
        </w:tc>
      </w:tr>
      <w:tr w:rsidR="002D72CC" w14:paraId="36005070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CEB6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408  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107A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Check casher: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BF9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D87B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2E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Accepts checks or monetary instruments in return for currency greater than $1,000 for any one person on any day.</w:t>
            </w:r>
          </w:p>
        </w:tc>
      </w:tr>
      <w:tr w:rsidR="002D72CC" w14:paraId="267CF131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B992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409  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EA8F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Money transmitter: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59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A34C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749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Accepts currency, funds, or other value that substitutes for currency from one person </w:t>
            </w: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>and</w:t>
            </w:r>
            <w:r>
              <w:rPr>
                <w:rFonts w:cstheme="minorHAnsi"/>
                <w:color w:val="000000"/>
                <w:shd w:val="clear" w:color="auto" w:fill="FFFFFF"/>
              </w:rPr>
              <w:t> the transmission of currency, funds, or other value that substitutes for currency to another location or person by any means.</w:t>
            </w:r>
          </w:p>
        </w:tc>
      </w:tr>
      <w:tr w:rsidR="002D72CC" w14:paraId="51A791AF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B5F3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413  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FA41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Seller of prepaid access: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453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BD49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57C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Participants who receive funds in exchange for an initial or subsequent loading of prepaid access device.</w:t>
            </w:r>
          </w:p>
        </w:tc>
      </w:tr>
      <w:tr w:rsidR="002D72CC" w14:paraId="0E11FA11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D47F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414  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185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Provider of prepaid access: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CCD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C404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8221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 principal conduit for information  for fellow program participants who receive funds in exchange for an initial or subsequent loading of prepaid access device.</w:t>
            </w:r>
          </w:p>
        </w:tc>
      </w:tr>
      <w:tr w:rsidR="002D72CC" w14:paraId="2BBC01B3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1BFD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lastRenderedPageBreak/>
              <w:t>415  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B37F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Dealer in foreign exchange: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8E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47D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01F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Accepts currency or other monetary instruments in exchange for the same in another country’s currency.</w:t>
            </w:r>
          </w:p>
        </w:tc>
      </w:tr>
      <w:tr w:rsidR="002D72CC" w14:paraId="3C1FAB45" w14:textId="77777777" w:rsidTr="002D72CC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6DE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499  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07E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68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54D4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82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16F928CC" w14:textId="77777777" w:rsidTr="002D72CC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8C0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Risk points: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9B2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6120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0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</w:tbl>
    <w:p w14:paraId="6F9EE57C" w14:textId="77777777" w:rsidR="002D72CC" w:rsidRDefault="002D72CC" w:rsidP="002D72CC">
      <w:pPr>
        <w:tabs>
          <w:tab w:val="left" w:pos="1965"/>
        </w:tabs>
        <w:rPr>
          <w:rFonts w:cstheme="minorHAnsi"/>
        </w:rPr>
      </w:pPr>
    </w:p>
    <w:p w14:paraId="3DD6BBE9" w14:textId="77777777" w:rsidR="002D72CC" w:rsidRDefault="002D72CC" w:rsidP="002D72CC">
      <w:pPr>
        <w:tabs>
          <w:tab w:val="left" w:pos="1965"/>
        </w:tabs>
        <w:spacing w:after="0"/>
        <w:ind w:left="-720"/>
        <w:rPr>
          <w:rFonts w:cstheme="minorHAnsi"/>
          <w:b/>
          <w:bCs/>
        </w:rPr>
      </w:pPr>
      <w:r>
        <w:rPr>
          <w:rFonts w:cstheme="minorHAnsi"/>
          <w:b/>
          <w:bCs/>
        </w:rPr>
        <w:t>Anticipated Monthly Activity (per customer):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684"/>
        <w:gridCol w:w="2182"/>
        <w:gridCol w:w="2694"/>
        <w:gridCol w:w="3240"/>
      </w:tblGrid>
      <w:tr w:rsidR="002D72CC" w14:paraId="55C94489" w14:textId="77777777" w:rsidTr="002D72C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A8D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Service: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4016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Volume (# of trans):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48C2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Amount (avg. $ amount):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03A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Additional information:</w:t>
            </w:r>
          </w:p>
        </w:tc>
      </w:tr>
      <w:tr w:rsidR="002D72CC" w14:paraId="10172CB8" w14:textId="77777777" w:rsidTr="002D72C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121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Check casher: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96D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F7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E1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67D1F780" w14:textId="77777777" w:rsidTr="002D72C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3DD2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Money transmitter: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D39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7D1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B09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1E96E415" w14:textId="77777777" w:rsidTr="002D72C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48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8FD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4D3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DF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50B0E1AF" w14:textId="77777777" w:rsidTr="002D72C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84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789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C63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EBB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</w:tbl>
    <w:p w14:paraId="2CCEEA0A" w14:textId="77777777" w:rsidR="002D72CC" w:rsidRDefault="002D72CC" w:rsidP="002D72CC">
      <w:pPr>
        <w:tabs>
          <w:tab w:val="left" w:pos="1965"/>
        </w:tabs>
        <w:rPr>
          <w:rFonts w:cstheme="minorHAnsi"/>
        </w:rPr>
      </w:pPr>
    </w:p>
    <w:p w14:paraId="18F557F4" w14:textId="77777777" w:rsidR="002D72CC" w:rsidRDefault="002D72CC" w:rsidP="002D72CC">
      <w:pPr>
        <w:tabs>
          <w:tab w:val="left" w:pos="1965"/>
        </w:tabs>
        <w:spacing w:after="0"/>
        <w:ind w:left="-720"/>
        <w:rPr>
          <w:rFonts w:cstheme="minorHAnsi"/>
          <w:b/>
          <w:bCs/>
        </w:rPr>
      </w:pPr>
      <w:r>
        <w:rPr>
          <w:rFonts w:cstheme="minorHAnsi"/>
          <w:b/>
          <w:bCs/>
        </w:rPr>
        <w:t>Actual Monthly Activity: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641"/>
        <w:gridCol w:w="2194"/>
        <w:gridCol w:w="2725"/>
        <w:gridCol w:w="3240"/>
      </w:tblGrid>
      <w:tr w:rsidR="002D72CC" w14:paraId="4229175E" w14:textId="77777777" w:rsidTr="002D72CC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E8B6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Service: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304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Volume (# of trans):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D36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Amount (avg. $ amount):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213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Additional information:</w:t>
            </w:r>
          </w:p>
        </w:tc>
      </w:tr>
      <w:tr w:rsidR="002D72CC" w14:paraId="5EFF563C" w14:textId="77777777" w:rsidTr="002D72CC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990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00A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A99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6B0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2DC4DD0D" w14:textId="77777777" w:rsidTr="002D72CC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602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804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1A0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774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68F94E94" w14:textId="77777777" w:rsidTr="002D72CC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261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81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715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33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7CB88268" w14:textId="77777777" w:rsidTr="002D72CC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AAD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2CD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826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64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</w:tbl>
    <w:p w14:paraId="4D6FD933" w14:textId="77777777" w:rsidR="002D72CC" w:rsidRDefault="002D72CC" w:rsidP="002D72CC">
      <w:pPr>
        <w:tabs>
          <w:tab w:val="left" w:pos="1965"/>
        </w:tabs>
        <w:rPr>
          <w:rFonts w:cstheme="minorHAnsi"/>
        </w:rPr>
      </w:pPr>
    </w:p>
    <w:p w14:paraId="56EC5876" w14:textId="77777777" w:rsidR="002D72CC" w:rsidRDefault="002D72CC" w:rsidP="002D72CC">
      <w:pPr>
        <w:tabs>
          <w:tab w:val="left" w:pos="1965"/>
        </w:tabs>
        <w:spacing w:after="0"/>
        <w:ind w:left="-720"/>
        <w:rPr>
          <w:rFonts w:cstheme="minorHAnsi"/>
          <w:b/>
          <w:bCs/>
        </w:rPr>
      </w:pPr>
      <w:r>
        <w:rPr>
          <w:rFonts w:cstheme="minorHAnsi"/>
          <w:b/>
          <w:bCs/>
        </w:rPr>
        <w:t>Risk: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2340"/>
        <w:gridCol w:w="990"/>
        <w:gridCol w:w="2700"/>
        <w:gridCol w:w="1170"/>
      </w:tblGrid>
      <w:tr w:rsidR="002D72CC" w14:paraId="15FC96EE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860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Service: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883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Volume (# of trans):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A3A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58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Amount (avg. $ amount):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0AB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51CEE593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F4E4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401 – Issuer of traveler’s checks: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CCB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F29E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AC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9382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743AB845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2248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402 – Seller of traveler’s checks: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A84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2A2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24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0E2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52169001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218F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404 – Issuer of money orders: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368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E90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D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1B481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5FD57622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59B8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405 – Seller of money orders: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C23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B71D0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65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8D1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59DB34F9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DAD5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408 – Check casher: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71B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ECD3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16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53F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7941FAF7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1EA1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409 – Money transmitter: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F17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0EB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F49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3F530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1C56AF26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F56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413 – Seller of prepaid access: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EF3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7218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92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3D171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2AC95165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0924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414 – Provider of prepaid access: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6BA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0B6C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2C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033E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26DDF1AF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A70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415 – Dealer in foreign exchange: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6DC0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2807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71B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0CAB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26AD5A5A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A031" w14:textId="77777777" w:rsidR="002D72CC" w:rsidRDefault="002D72C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499 – Other: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491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846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D35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24DF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  <w:tr w:rsidR="002D72CC" w14:paraId="49D2D8C6" w14:textId="77777777" w:rsidTr="002D72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247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7DA" w14:textId="77777777" w:rsidR="002D72CC" w:rsidRDefault="002D72CC">
            <w:pPr>
              <w:rPr>
                <w:rFonts w:cstheme="minorHAnsi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8BEA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20D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88F4" w14:textId="77777777" w:rsidR="002D72CC" w:rsidRDefault="002D72CC">
            <w:pPr>
              <w:tabs>
                <w:tab w:val="left" w:pos="1965"/>
              </w:tabs>
              <w:rPr>
                <w:rFonts w:cstheme="minorHAnsi"/>
              </w:rPr>
            </w:pPr>
          </w:p>
        </w:tc>
      </w:tr>
    </w:tbl>
    <w:p w14:paraId="38D2FF7E" w14:textId="77777777" w:rsidR="002D72CC" w:rsidRDefault="002D72CC" w:rsidP="002D72CC">
      <w:pPr>
        <w:tabs>
          <w:tab w:val="left" w:pos="1965"/>
        </w:tabs>
        <w:rPr>
          <w:rFonts w:cstheme="minorHAnsi"/>
        </w:rPr>
      </w:pPr>
    </w:p>
    <w:p w14:paraId="11A05D44" w14:textId="77777777" w:rsidR="002D72CC" w:rsidRDefault="002D72CC" w:rsidP="002D72CC">
      <w:pPr>
        <w:tabs>
          <w:tab w:val="left" w:pos="1965"/>
        </w:tabs>
        <w:ind w:left="-720"/>
        <w:rPr>
          <w:rFonts w:cstheme="minorHAnsi"/>
        </w:rPr>
      </w:pPr>
      <w:r>
        <w:rPr>
          <w:rFonts w:cstheme="minorHAnsi"/>
        </w:rPr>
        <w:t>Risk points due to agent status:</w:t>
      </w:r>
    </w:p>
    <w:p w14:paraId="5026C109" w14:textId="77777777" w:rsidR="002D72CC" w:rsidRDefault="002D72CC" w:rsidP="002D72CC">
      <w:pPr>
        <w:tabs>
          <w:tab w:val="left" w:pos="1965"/>
        </w:tabs>
        <w:ind w:left="-720"/>
        <w:rPr>
          <w:rFonts w:cstheme="minorHAnsi"/>
        </w:rPr>
      </w:pPr>
      <w:r>
        <w:rPr>
          <w:rFonts w:cstheme="minorHAnsi"/>
        </w:rPr>
        <w:t>Risk points due to registered services:</w:t>
      </w:r>
    </w:p>
    <w:p w14:paraId="79C84D1C" w14:textId="77777777" w:rsidR="002D72CC" w:rsidRDefault="002D72CC" w:rsidP="002D72CC">
      <w:pPr>
        <w:tabs>
          <w:tab w:val="left" w:pos="1965"/>
        </w:tabs>
        <w:ind w:left="-720"/>
        <w:rPr>
          <w:rFonts w:cstheme="minorHAnsi"/>
        </w:rPr>
      </w:pPr>
      <w:r>
        <w:rPr>
          <w:rFonts w:cstheme="minorHAnsi"/>
        </w:rPr>
        <w:t>Risk points (based on higher of actual or anticipated):</w:t>
      </w:r>
    </w:p>
    <w:p w14:paraId="14431905" w14:textId="77777777" w:rsidR="002D72CC" w:rsidRDefault="002D72CC" w:rsidP="002D72CC">
      <w:pPr>
        <w:tabs>
          <w:tab w:val="left" w:pos="1965"/>
        </w:tabs>
        <w:ind w:left="-720"/>
        <w:rPr>
          <w:rFonts w:cstheme="minorHAnsi"/>
        </w:rPr>
      </w:pPr>
      <w:r>
        <w:rPr>
          <w:rFonts w:cstheme="minorHAnsi"/>
        </w:rPr>
        <w:t xml:space="preserve">Total risk points: </w:t>
      </w:r>
    </w:p>
    <w:p w14:paraId="2BA1521B" w14:textId="28FD1498" w:rsidR="00361D88" w:rsidRDefault="002D72CC" w:rsidP="00E52209">
      <w:pPr>
        <w:tabs>
          <w:tab w:val="left" w:pos="1965"/>
        </w:tabs>
        <w:ind w:left="-720"/>
        <w:rPr>
          <w:rFonts w:cstheme="minorHAnsi"/>
        </w:rPr>
      </w:pPr>
      <w:r>
        <w:rPr>
          <w:rFonts w:cstheme="minorHAnsi"/>
        </w:rPr>
        <w:t>Customer does NOT charge check-cashing fees. No State licensing required</w:t>
      </w:r>
      <w:r w:rsidR="00E52209">
        <w:rPr>
          <w:rFonts w:cstheme="minorHAnsi"/>
        </w:rPr>
        <w:t>.</w:t>
      </w: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22A57"/>
    <w:rsid w:val="002549A2"/>
    <w:rsid w:val="00297CFA"/>
    <w:rsid w:val="002D72CC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E52209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7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2347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4</cp:revision>
  <cp:lastPrinted>2022-02-07T18:55:00Z</cp:lastPrinted>
  <dcterms:created xsi:type="dcterms:W3CDTF">2023-03-03T21:07:00Z</dcterms:created>
  <dcterms:modified xsi:type="dcterms:W3CDTF">2023-04-04T16:29:00Z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e2461ee1fe1baf470d01365e75f46f434f3443eb52fefd704f71758fc0cd8c23</vt:lpwstr>
  </property>
</Properties>
</file>